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28"/>
          <w:szCs w:val="28"/>
        </w:rPr>
      </w:pPr>
      <w:r>
        <w:rPr>
          <w:rFonts w:hint="eastAsia"/>
          <w:sz w:val="28"/>
          <w:szCs w:val="28"/>
        </w:rPr>
        <w:t>DBU octanoate SA-102</w:t>
      </w:r>
    </w:p>
    <w:p>
      <w:pPr>
        <w:jc w:val="left"/>
        <w:rPr>
          <w:rFonts w:hint="eastAsia"/>
          <w:sz w:val="28"/>
          <w:szCs w:val="28"/>
        </w:rPr>
      </w:pPr>
      <w:r>
        <w:rPr>
          <w:rFonts w:hint="eastAsia"/>
          <w:sz w:val="28"/>
          <w:szCs w:val="28"/>
        </w:rPr>
        <w:t>summary:</w:t>
      </w:r>
    </w:p>
    <w:p>
      <w:pPr>
        <w:jc w:val="left"/>
        <w:rPr>
          <w:rFonts w:hint="eastAsia"/>
          <w:sz w:val="28"/>
          <w:szCs w:val="28"/>
        </w:rPr>
      </w:pPr>
      <w:r>
        <w:rPr>
          <w:rFonts w:hint="eastAsia"/>
          <w:sz w:val="28"/>
          <w:szCs w:val="28"/>
        </w:rPr>
        <w:t>Product name: Polyurethane catalyst SA-102</w:t>
      </w:r>
    </w:p>
    <w:p>
      <w:pPr>
        <w:jc w:val="left"/>
        <w:rPr>
          <w:rFonts w:hint="eastAsia"/>
          <w:sz w:val="28"/>
          <w:szCs w:val="28"/>
        </w:rPr>
      </w:pPr>
      <w:r>
        <w:rPr>
          <w:rFonts w:hint="eastAsia"/>
          <w:sz w:val="28"/>
          <w:szCs w:val="28"/>
        </w:rPr>
        <w:t>Alias: DBU octanoate, SA102, Niax A-577, tertiary amine reactive delayed catalyst SA-102, reactive delayed catalyst SA-102, delayed catalyst SA-102, tertiary amine reactive catalyst SA-102</w:t>
      </w:r>
    </w:p>
    <w:p>
      <w:pPr>
        <w:jc w:val="left"/>
        <w:rPr>
          <w:rFonts w:hint="eastAsia"/>
          <w:sz w:val="28"/>
          <w:szCs w:val="28"/>
        </w:rPr>
      </w:pPr>
      <w:r>
        <w:rPr>
          <w:rFonts w:hint="eastAsia"/>
          <w:sz w:val="28"/>
          <w:szCs w:val="28"/>
        </w:rPr>
        <w:t>Product description: SA-102 is a tertiary amine reaction type delayed catalyst</w:t>
      </w:r>
    </w:p>
    <w:p>
      <w:pPr>
        <w:jc w:val="left"/>
        <w:rPr>
          <w:rFonts w:hint="eastAsia"/>
          <w:sz w:val="28"/>
          <w:szCs w:val="28"/>
        </w:rPr>
      </w:pPr>
      <w:r>
        <w:rPr>
          <w:rFonts w:hint="eastAsia"/>
          <w:sz w:val="28"/>
          <w:szCs w:val="28"/>
        </w:rPr>
        <w:t>Product properties:</w:t>
      </w:r>
    </w:p>
    <w:p>
      <w:pPr>
        <w:jc w:val="left"/>
        <w:rPr>
          <w:rFonts w:hint="eastAsia"/>
          <w:sz w:val="28"/>
          <w:szCs w:val="28"/>
        </w:rPr>
      </w:pPr>
      <w:r>
        <w:rPr>
          <w:rFonts w:hint="eastAsia"/>
          <w:sz w:val="28"/>
          <w:szCs w:val="28"/>
        </w:rPr>
        <w:t>Appearance: light yellow liquid</w:t>
      </w:r>
    </w:p>
    <w:p>
      <w:pPr>
        <w:jc w:val="left"/>
        <w:rPr>
          <w:rFonts w:hint="eastAsia"/>
          <w:sz w:val="28"/>
          <w:szCs w:val="28"/>
        </w:rPr>
      </w:pPr>
      <w:r>
        <w:rPr>
          <w:rFonts w:hint="eastAsia"/>
          <w:sz w:val="28"/>
          <w:szCs w:val="28"/>
        </w:rPr>
        <w:t>Viscosity (25 ℃, mPa. s): 460</w:t>
      </w:r>
    </w:p>
    <w:p>
      <w:pPr>
        <w:jc w:val="left"/>
        <w:rPr>
          <w:rFonts w:hint="eastAsia"/>
          <w:sz w:val="28"/>
          <w:szCs w:val="28"/>
        </w:rPr>
      </w:pPr>
      <w:r>
        <w:rPr>
          <w:rFonts w:hint="eastAsia"/>
          <w:sz w:val="28"/>
          <w:szCs w:val="28"/>
        </w:rPr>
        <w:t>Density (25 ℃, g/cm3): 1.09</w:t>
      </w:r>
    </w:p>
    <w:p>
      <w:pPr>
        <w:jc w:val="left"/>
        <w:rPr>
          <w:rFonts w:hint="eastAsia"/>
          <w:sz w:val="28"/>
          <w:szCs w:val="28"/>
        </w:rPr>
      </w:pPr>
      <w:r>
        <w:rPr>
          <w:rFonts w:hint="eastAsia"/>
          <w:sz w:val="28"/>
          <w:szCs w:val="28"/>
        </w:rPr>
        <w:t>Water solubility: soluble in water</w:t>
      </w:r>
    </w:p>
    <w:p>
      <w:pPr>
        <w:jc w:val="left"/>
        <w:rPr>
          <w:rFonts w:hint="eastAsia"/>
          <w:sz w:val="28"/>
          <w:szCs w:val="28"/>
        </w:rPr>
      </w:pPr>
      <w:r>
        <w:rPr>
          <w:rFonts w:hint="eastAsia"/>
          <w:sz w:val="28"/>
          <w:szCs w:val="28"/>
        </w:rPr>
        <w:t>Flash point (PMCC, ℃): 104</w:t>
      </w:r>
    </w:p>
    <w:p>
      <w:pPr>
        <w:jc w:val="left"/>
        <w:rPr>
          <w:rFonts w:hint="eastAsia"/>
          <w:sz w:val="28"/>
          <w:szCs w:val="28"/>
        </w:rPr>
      </w:pPr>
      <w:r>
        <w:rPr>
          <w:rFonts w:hint="eastAsia"/>
          <w:sz w:val="28"/>
          <w:szCs w:val="28"/>
        </w:rPr>
        <w:t>Hydroxyl value (mgKOH/g): 1516</w:t>
      </w:r>
    </w:p>
    <w:p>
      <w:pPr>
        <w:jc w:val="left"/>
        <w:rPr>
          <w:rFonts w:hint="eastAsia"/>
          <w:sz w:val="28"/>
          <w:szCs w:val="28"/>
        </w:rPr>
      </w:pPr>
      <w:r>
        <w:rPr>
          <w:rFonts w:hint="eastAsia"/>
          <w:sz w:val="28"/>
          <w:szCs w:val="28"/>
        </w:rPr>
        <w:t>DBU octanoate tertiary amine reactive type delayed catalyst SA-102 reactive type delayed catalyst SA-102 delayed catalyst SA-102 tertiary amine reactive type catalyst SA-102</w:t>
      </w:r>
    </w:p>
    <w:p>
      <w:pPr>
        <w:jc w:val="left"/>
        <w:rPr>
          <w:rFonts w:hint="eastAsia" w:eastAsia="宋体"/>
          <w:sz w:val="28"/>
          <w:szCs w:val="28"/>
          <w:lang w:eastAsia="zh-CN"/>
        </w:rPr>
      </w:pPr>
      <w:r>
        <w:rPr>
          <w:rFonts w:hint="eastAsia" w:eastAsia="宋体"/>
          <w:sz w:val="28"/>
          <w:szCs w:val="28"/>
          <w:lang w:eastAsia="zh-CN"/>
        </w:rPr>
        <w:drawing>
          <wp:inline distT="0" distB="0" distL="114300" distR="114300">
            <wp:extent cx="2857500" cy="2857500"/>
            <wp:effectExtent l="0" t="0" r="0" b="0"/>
            <wp:docPr id="3" name="图片 3" descr="NEWTOP8-4-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NEWTOP8-4-300x300"/>
                    <pic:cNvPicPr>
                      <a:picLocks noChangeAspect="1"/>
                    </pic:cNvPicPr>
                  </pic:nvPicPr>
                  <pic:blipFill>
                    <a:blip r:embed="rId6"/>
                    <a:stretch>
                      <a:fillRect/>
                    </a:stretch>
                  </pic:blipFill>
                  <pic:spPr>
                    <a:xfrm>
                      <a:off x="0" y="0"/>
                      <a:ext cx="2857500" cy="2857500"/>
                    </a:xfrm>
                    <a:prstGeom prst="rect">
                      <a:avLst/>
                    </a:prstGeom>
                  </pic:spPr>
                </pic:pic>
              </a:graphicData>
            </a:graphic>
          </wp:inline>
        </w:drawing>
      </w:r>
      <w:bookmarkStart w:id="0" w:name="_GoBack"/>
      <w:bookmarkEnd w:id="0"/>
    </w:p>
    <w:p>
      <w:pPr>
        <w:jc w:val="left"/>
        <w:rPr>
          <w:rFonts w:hint="eastAsia"/>
          <w:sz w:val="28"/>
          <w:szCs w:val="28"/>
        </w:rPr>
      </w:pPr>
      <w:r>
        <w:rPr>
          <w:rFonts w:hint="eastAsia"/>
          <w:sz w:val="28"/>
          <w:szCs w:val="28"/>
        </w:rPr>
        <w:t>Product use:</w:t>
      </w:r>
    </w:p>
    <w:p>
      <w:pPr>
        <w:jc w:val="left"/>
        <w:rPr>
          <w:rFonts w:hint="eastAsia"/>
          <w:sz w:val="28"/>
          <w:szCs w:val="28"/>
        </w:rPr>
      </w:pPr>
      <w:r>
        <w:rPr>
          <w:rFonts w:hint="eastAsia"/>
          <w:sz w:val="28"/>
          <w:szCs w:val="28"/>
        </w:rPr>
        <w:t>Catalyst SA-102 is a tertiary amine reaction type delay catalyst, which can strongly promote the reaction of carbamate (polyol isocyanate) in microporous foam, hard foam, self skinning foam, coating, adhesive, sealant and elastomer under the effect of thermal activation;</w:t>
      </w:r>
    </w:p>
    <w:p>
      <w:pPr>
        <w:jc w:val="left"/>
        <w:rPr>
          <w:rFonts w:hint="eastAsia"/>
          <w:sz w:val="28"/>
          <w:szCs w:val="28"/>
        </w:rPr>
      </w:pPr>
      <w:r>
        <w:rPr>
          <w:rFonts w:hint="eastAsia"/>
          <w:sz w:val="28"/>
          <w:szCs w:val="28"/>
        </w:rPr>
        <w:t>The catalyst SA-102 is suitable for products that require a certain delay at the beginning and then ripen quickly. SA-102 will not participate in the reaction at the beginning. The heat released from the carbamate reaction or urea reaction will enable SA-102 to quickly unseal. The unsealed material will quickly catalyze the carbamate reaction, so that the product can quickly solidify;</w:t>
      </w:r>
    </w:p>
    <w:p>
      <w:pPr>
        <w:jc w:val="left"/>
        <w:rPr>
          <w:rFonts w:hint="eastAsia"/>
          <w:sz w:val="28"/>
          <w:szCs w:val="28"/>
        </w:rPr>
      </w:pPr>
      <w:r>
        <w:rPr>
          <w:rFonts w:hint="eastAsia"/>
          <w:sz w:val="28"/>
          <w:szCs w:val="28"/>
        </w:rPr>
        <w:t>The thermal sensitive temperature of catalyst SA-102 is 60 ℃, which can extend the opalescence time and rapidly demould.</w:t>
      </w:r>
    </w:p>
    <w:p>
      <w:pPr>
        <w:jc w:val="left"/>
        <w:rPr>
          <w:rFonts w:hint="eastAsia"/>
          <w:sz w:val="28"/>
          <w:szCs w:val="28"/>
        </w:rPr>
      </w:pPr>
      <w:r>
        <w:rPr>
          <w:rFonts w:hint="eastAsia"/>
          <w:sz w:val="28"/>
          <w:szCs w:val="28"/>
        </w:rPr>
        <w:t>DBU octanoate tertiary amine reactive type delayed catalyst SA-102 reactive type delayed catalyst SA-102 delayed catalyst SA-102 tertiary amine reactive type catalyst SA-102</w:t>
      </w:r>
    </w:p>
    <w:p>
      <w:pPr>
        <w:jc w:val="left"/>
        <w:rPr>
          <w:rFonts w:hint="eastAsia"/>
          <w:sz w:val="28"/>
          <w:szCs w:val="28"/>
        </w:rPr>
      </w:pPr>
      <w:r>
        <w:rPr>
          <w:rFonts w:hint="eastAsia"/>
          <w:sz w:val="28"/>
          <w:szCs w:val="28"/>
        </w:rPr>
        <w:t>quality guarantee period:</w:t>
      </w:r>
    </w:p>
    <w:p>
      <w:pPr>
        <w:jc w:val="left"/>
        <w:rPr>
          <w:rFonts w:hint="eastAsia"/>
          <w:sz w:val="28"/>
          <w:szCs w:val="28"/>
        </w:rPr>
      </w:pPr>
      <w:r>
        <w:rPr>
          <w:rFonts w:hint="eastAsia"/>
          <w:sz w:val="28"/>
          <w:szCs w:val="28"/>
        </w:rPr>
        <w:t>The unopened shelf life is 12 months.</w:t>
      </w:r>
    </w:p>
    <w:p>
      <w:pPr>
        <w:jc w:val="left"/>
        <w:rPr>
          <w:rFonts w:hint="eastAsia"/>
          <w:sz w:val="28"/>
          <w:szCs w:val="28"/>
        </w:rPr>
      </w:pPr>
      <w:r>
        <w:rPr>
          <w:rFonts w:hint="eastAsia"/>
          <w:sz w:val="28"/>
          <w:szCs w:val="28"/>
        </w:rPr>
        <w:t>Storage and transportation:</w:t>
      </w:r>
    </w:p>
    <w:p>
      <w:pPr>
        <w:jc w:val="left"/>
        <w:rPr>
          <w:rFonts w:hint="eastAsia"/>
          <w:sz w:val="28"/>
          <w:szCs w:val="28"/>
        </w:rPr>
      </w:pPr>
      <w:r>
        <w:rPr>
          <w:rFonts w:hint="eastAsia"/>
          <w:sz w:val="28"/>
          <w:szCs w:val="28"/>
        </w:rPr>
        <w:t>It shall be sealed and stored in a dry, cool and ventilated warehouse</w:t>
      </w:r>
    </w:p>
    <w:p>
      <w:pPr>
        <w:jc w:val="left"/>
        <w:rPr>
          <w:rFonts w:hint="eastAsia"/>
          <w:sz w:val="28"/>
          <w:szCs w:val="28"/>
        </w:rPr>
      </w:pPr>
      <w:r>
        <w:rPr>
          <w:rFonts w:hint="eastAsia"/>
          <w:sz w:val="28"/>
          <w:szCs w:val="28"/>
        </w:rPr>
        <w:t>packing:</w:t>
      </w:r>
    </w:p>
    <w:p>
      <w:pPr>
        <w:jc w:val="left"/>
        <w:rPr>
          <w:rFonts w:hint="eastAsia"/>
          <w:sz w:val="28"/>
          <w:szCs w:val="28"/>
        </w:rPr>
      </w:pPr>
      <w:r>
        <w:rPr>
          <w:rFonts w:hint="eastAsia"/>
          <w:sz w:val="28"/>
          <w:szCs w:val="28"/>
        </w:rPr>
        <w:t>200KG/barrel storage: It is recommended to store in a dry and cool area with proper ventilation. Please fasten the package cover as soon as possible after the original packaging, so as to prevent the mixing of other substances such as water and affect the product performance. Store in a cool, dry place and keep the container sealed to avoid contact with oxides. Do not breathe dust and avoid skin and mucous membrane contact. Smoking, eating and drinking are prohibited in the workplace. After work, take a shower and change clothes. Store contaminated clothes separately and reuse them after washing. Keep good hygiene habits. The company recommends that all polyurethane catalysts be stored in a dry, cool and properly ventilated place. All storage containers must be well sealed to avoid contact with water or other influential substances, because this may change the performance of the product in use. The storage temperature is 10 ℃ to 30 ℃. Lower or higher temperatures are inappropriate and should be avoided as much as possible.</w:t>
      </w:r>
    </w:p>
    <w:sectPr>
      <w:headerReference r:id="rId3" w:type="default"/>
      <w:footerReference r:id="rId4" w:type="default"/>
      <w:pgSz w:w="11906" w:h="16838"/>
      <w:pgMar w:top="1686" w:right="1134" w:bottom="652" w:left="1134" w:header="851" w:footer="3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panose1 w:val="03000509000000000000"/>
    <w:charset w:val="86"/>
    <w:family w:val="script"/>
    <w:pitch w:val="default"/>
    <w:sig w:usb0="00000001" w:usb1="080E0000" w:usb2="0000000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Arial" w:hAnsi="Arial" w:cs="Arial"/>
        <w:b/>
        <w:color w:val="595959"/>
        <w:shd w:val="clear" w:color="auto" w:fill="FFFFFF"/>
      </w:rPr>
    </w:pPr>
    <w:r>
      <w:rPr>
        <w:rFonts w:hint="eastAsia" w:ascii="Arial" w:hAnsi="Arial" w:cs="Arial"/>
        <w:b/>
        <w:color w:val="595959"/>
        <w:shd w:val="clear" w:color="auto" w:fill="FFFFFF"/>
      </w:rPr>
      <w:t>新 典 化 学 材 料 ( 上 海 ) 有 限 公 司</w:t>
    </w:r>
  </w:p>
  <w:p>
    <w:pPr>
      <w:pStyle w:val="10"/>
      <w:rPr>
        <w:rFonts w:ascii="Arial" w:hAnsi="Arial" w:cs="Arial"/>
        <w:b/>
        <w:color w:val="595959"/>
        <w:shd w:val="clear" w:color="auto" w:fill="FFFFFF"/>
      </w:rPr>
    </w:pPr>
    <w:r>
      <w:rPr>
        <w:rFonts w:hint="eastAsia" w:ascii="Arial" w:hAnsi="Arial" w:cs="Arial"/>
        <w:b/>
        <w:color w:val="595959"/>
        <w:shd w:val="clear" w:color="auto" w:fill="FFFFFF"/>
      </w:rPr>
      <w:t>Newtop Chemical Materials (Shanghai) Co.,Ltd.</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 xml:space="preserve">地址：上海市宝山区淞兴西路258号1104室          </w:t>
    </w:r>
  </w:p>
  <w:p>
    <w:pPr>
      <w:pStyle w:val="10"/>
      <w:rPr>
        <w:rFonts w:hint="eastAsia" w:ascii="Arial" w:hAnsi="Arial" w:cs="Arial"/>
        <w:color w:val="595959"/>
        <w:shd w:val="clear" w:color="auto" w:fill="FFFFFF"/>
      </w:rPr>
    </w:pPr>
    <w:r>
      <w:rPr>
        <w:rFonts w:hint="eastAsia" w:ascii="Arial" w:hAnsi="Arial" w:cs="Arial"/>
        <w:color w:val="595959"/>
        <w:shd w:val="clear" w:color="auto" w:fill="FFFFFF"/>
      </w:rPr>
      <w:t>电话：0</w:t>
    </w:r>
    <w:r>
      <w:rPr>
        <w:rFonts w:ascii="Arial" w:hAnsi="Arial" w:cs="Arial"/>
        <w:color w:val="595959"/>
        <w:shd w:val="clear" w:color="auto" w:fill="FFFFFF"/>
      </w:rPr>
      <w:t>21-</w:t>
    </w:r>
    <w:r>
      <w:rPr>
        <w:rFonts w:hint="eastAsia" w:ascii="Arial" w:hAnsi="Arial" w:cs="Arial"/>
        <w:color w:val="595959"/>
        <w:shd w:val="clear" w:color="auto" w:fill="FFFFFF"/>
      </w:rPr>
      <w:t>6620 8786  传真：0</w:t>
    </w:r>
    <w:r>
      <w:rPr>
        <w:rFonts w:ascii="Arial" w:hAnsi="Arial" w:cs="Arial"/>
        <w:color w:val="595959"/>
        <w:shd w:val="clear" w:color="auto" w:fill="FFFFFF"/>
      </w:rPr>
      <w:t>21-</w:t>
    </w:r>
    <w:r>
      <w:rPr>
        <w:rFonts w:hint="eastAsia" w:ascii="Arial" w:hAnsi="Arial" w:cs="Arial"/>
        <w:color w:val="595959"/>
        <w:shd w:val="clear" w:color="auto" w:fill="FFFFFF"/>
      </w:rPr>
      <w:t>5169 1833</w:t>
    </w:r>
  </w:p>
  <w:p>
    <w:pPr>
      <w:pStyle w:val="10"/>
      <w:wordWrap w:val="0"/>
      <w:jc w:val="right"/>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方正综艺简体" w:eastAsia="方正综艺简体"/>
        <w:sz w:val="20"/>
        <w:szCs w:val="20"/>
      </w:rPr>
      <w:drawing>
        <wp:anchor distT="0" distB="0" distL="114300" distR="114300" simplePos="0" relativeHeight="251659264" behindDoc="0" locked="0" layoutInCell="1" allowOverlap="1">
          <wp:simplePos x="0" y="0"/>
          <wp:positionH relativeFrom="column">
            <wp:posOffset>2268855</wp:posOffset>
          </wp:positionH>
          <wp:positionV relativeFrom="paragraph">
            <wp:posOffset>-403225</wp:posOffset>
          </wp:positionV>
          <wp:extent cx="1021715" cy="905510"/>
          <wp:effectExtent l="0" t="0" r="6985" b="889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r="9860" b="17334"/>
                  <a:stretch>
                    <a:fillRect/>
                  </a:stretch>
                </pic:blipFill>
                <pic:spPr>
                  <a:xfrm>
                    <a:off x="0" y="0"/>
                    <a:ext cx="1021715" cy="9055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N2ZhYThjODJmMDMwMmQ1MGFhYWE2YzYxOGZjOTkifQ=="/>
  </w:docVars>
  <w:rsids>
    <w:rsidRoot w:val="00E54067"/>
    <w:rsid w:val="00010A1D"/>
    <w:rsid w:val="00025C9F"/>
    <w:rsid w:val="00030A1B"/>
    <w:rsid w:val="00033846"/>
    <w:rsid w:val="000542AE"/>
    <w:rsid w:val="000747E5"/>
    <w:rsid w:val="000A3259"/>
    <w:rsid w:val="000A49E2"/>
    <w:rsid w:val="000C2279"/>
    <w:rsid w:val="000C244D"/>
    <w:rsid w:val="000D17E2"/>
    <w:rsid w:val="000F5281"/>
    <w:rsid w:val="0010447F"/>
    <w:rsid w:val="00117E0C"/>
    <w:rsid w:val="00124178"/>
    <w:rsid w:val="00130F34"/>
    <w:rsid w:val="00135AB5"/>
    <w:rsid w:val="00136048"/>
    <w:rsid w:val="00153939"/>
    <w:rsid w:val="0017118C"/>
    <w:rsid w:val="00172B62"/>
    <w:rsid w:val="00191EA3"/>
    <w:rsid w:val="001D260C"/>
    <w:rsid w:val="001F0EF6"/>
    <w:rsid w:val="0020618E"/>
    <w:rsid w:val="0022724B"/>
    <w:rsid w:val="002322F8"/>
    <w:rsid w:val="00245696"/>
    <w:rsid w:val="002510EC"/>
    <w:rsid w:val="002537D9"/>
    <w:rsid w:val="00262F24"/>
    <w:rsid w:val="00275FC2"/>
    <w:rsid w:val="0028427C"/>
    <w:rsid w:val="002A47BA"/>
    <w:rsid w:val="002B3198"/>
    <w:rsid w:val="002D2B45"/>
    <w:rsid w:val="002E2292"/>
    <w:rsid w:val="00306FEE"/>
    <w:rsid w:val="0031256D"/>
    <w:rsid w:val="00313428"/>
    <w:rsid w:val="0031488E"/>
    <w:rsid w:val="00321DBD"/>
    <w:rsid w:val="003305B6"/>
    <w:rsid w:val="00344DC8"/>
    <w:rsid w:val="003702A1"/>
    <w:rsid w:val="00385E2E"/>
    <w:rsid w:val="003A2084"/>
    <w:rsid w:val="003B4F4D"/>
    <w:rsid w:val="003C14D0"/>
    <w:rsid w:val="003C337A"/>
    <w:rsid w:val="003D04BB"/>
    <w:rsid w:val="003D26EB"/>
    <w:rsid w:val="003D6AA0"/>
    <w:rsid w:val="003E10CB"/>
    <w:rsid w:val="003F403A"/>
    <w:rsid w:val="00413391"/>
    <w:rsid w:val="004203A1"/>
    <w:rsid w:val="00443627"/>
    <w:rsid w:val="004B56D2"/>
    <w:rsid w:val="004C57C3"/>
    <w:rsid w:val="00501C40"/>
    <w:rsid w:val="00502164"/>
    <w:rsid w:val="005407BB"/>
    <w:rsid w:val="00541782"/>
    <w:rsid w:val="005432F6"/>
    <w:rsid w:val="00557436"/>
    <w:rsid w:val="00573A37"/>
    <w:rsid w:val="00596847"/>
    <w:rsid w:val="005E2C47"/>
    <w:rsid w:val="005E6A44"/>
    <w:rsid w:val="005F071B"/>
    <w:rsid w:val="0060086F"/>
    <w:rsid w:val="00605D80"/>
    <w:rsid w:val="00617A93"/>
    <w:rsid w:val="00623E88"/>
    <w:rsid w:val="00637145"/>
    <w:rsid w:val="00653F25"/>
    <w:rsid w:val="00687086"/>
    <w:rsid w:val="00691D3A"/>
    <w:rsid w:val="006A0F2E"/>
    <w:rsid w:val="006A6044"/>
    <w:rsid w:val="006D09A1"/>
    <w:rsid w:val="006E1C52"/>
    <w:rsid w:val="006F401D"/>
    <w:rsid w:val="00706885"/>
    <w:rsid w:val="00713C59"/>
    <w:rsid w:val="00721615"/>
    <w:rsid w:val="007216F6"/>
    <w:rsid w:val="0072566D"/>
    <w:rsid w:val="007404EF"/>
    <w:rsid w:val="00740EFF"/>
    <w:rsid w:val="007415AA"/>
    <w:rsid w:val="0075486D"/>
    <w:rsid w:val="00761872"/>
    <w:rsid w:val="00765F41"/>
    <w:rsid w:val="0077093A"/>
    <w:rsid w:val="00775BBE"/>
    <w:rsid w:val="0077698D"/>
    <w:rsid w:val="00791202"/>
    <w:rsid w:val="00791D4B"/>
    <w:rsid w:val="0079707A"/>
    <w:rsid w:val="007D07BF"/>
    <w:rsid w:val="00825E42"/>
    <w:rsid w:val="00835AC1"/>
    <w:rsid w:val="0085605A"/>
    <w:rsid w:val="00861735"/>
    <w:rsid w:val="00884A9A"/>
    <w:rsid w:val="008A5A14"/>
    <w:rsid w:val="008C2F6D"/>
    <w:rsid w:val="008C5ECF"/>
    <w:rsid w:val="008E151A"/>
    <w:rsid w:val="008F24CB"/>
    <w:rsid w:val="008F3ABF"/>
    <w:rsid w:val="00901448"/>
    <w:rsid w:val="0090149B"/>
    <w:rsid w:val="009134A9"/>
    <w:rsid w:val="00922A3A"/>
    <w:rsid w:val="00931BB3"/>
    <w:rsid w:val="0093287D"/>
    <w:rsid w:val="00932B19"/>
    <w:rsid w:val="00950526"/>
    <w:rsid w:val="0098052B"/>
    <w:rsid w:val="009A04E9"/>
    <w:rsid w:val="009A2B02"/>
    <w:rsid w:val="009A32C7"/>
    <w:rsid w:val="009A3304"/>
    <w:rsid w:val="009A693B"/>
    <w:rsid w:val="009B2BE6"/>
    <w:rsid w:val="009E31D4"/>
    <w:rsid w:val="00A6213A"/>
    <w:rsid w:val="00A644FC"/>
    <w:rsid w:val="00AB7211"/>
    <w:rsid w:val="00AB72EC"/>
    <w:rsid w:val="00AC7442"/>
    <w:rsid w:val="00AD5F27"/>
    <w:rsid w:val="00AF338D"/>
    <w:rsid w:val="00B203E7"/>
    <w:rsid w:val="00B24F65"/>
    <w:rsid w:val="00B34B04"/>
    <w:rsid w:val="00B4169B"/>
    <w:rsid w:val="00B440EB"/>
    <w:rsid w:val="00B507F1"/>
    <w:rsid w:val="00B51B23"/>
    <w:rsid w:val="00B5350C"/>
    <w:rsid w:val="00B74598"/>
    <w:rsid w:val="00B87609"/>
    <w:rsid w:val="00B91015"/>
    <w:rsid w:val="00B93226"/>
    <w:rsid w:val="00B932BE"/>
    <w:rsid w:val="00B9508E"/>
    <w:rsid w:val="00BA3C59"/>
    <w:rsid w:val="00BC46E0"/>
    <w:rsid w:val="00BD3CB4"/>
    <w:rsid w:val="00BD52D2"/>
    <w:rsid w:val="00BD5CCD"/>
    <w:rsid w:val="00BE5DE4"/>
    <w:rsid w:val="00BE5E3A"/>
    <w:rsid w:val="00C0413A"/>
    <w:rsid w:val="00C23902"/>
    <w:rsid w:val="00C30FFD"/>
    <w:rsid w:val="00C31F7A"/>
    <w:rsid w:val="00C71FC7"/>
    <w:rsid w:val="00CC5A0D"/>
    <w:rsid w:val="00CC5AC6"/>
    <w:rsid w:val="00CE0574"/>
    <w:rsid w:val="00CE5D0E"/>
    <w:rsid w:val="00CF388F"/>
    <w:rsid w:val="00D119BB"/>
    <w:rsid w:val="00D1494A"/>
    <w:rsid w:val="00D4530B"/>
    <w:rsid w:val="00D55F08"/>
    <w:rsid w:val="00D644DD"/>
    <w:rsid w:val="00D67733"/>
    <w:rsid w:val="00D8423F"/>
    <w:rsid w:val="00D92F3A"/>
    <w:rsid w:val="00DA1D55"/>
    <w:rsid w:val="00DB01A4"/>
    <w:rsid w:val="00DB394E"/>
    <w:rsid w:val="00DE0FCC"/>
    <w:rsid w:val="00DE3EDD"/>
    <w:rsid w:val="00E27AE7"/>
    <w:rsid w:val="00E405D7"/>
    <w:rsid w:val="00E40703"/>
    <w:rsid w:val="00E54067"/>
    <w:rsid w:val="00E56A06"/>
    <w:rsid w:val="00E82955"/>
    <w:rsid w:val="00EA01EB"/>
    <w:rsid w:val="00EA2256"/>
    <w:rsid w:val="00EF075B"/>
    <w:rsid w:val="00F037E9"/>
    <w:rsid w:val="00F10FFA"/>
    <w:rsid w:val="00F343F1"/>
    <w:rsid w:val="00F74D83"/>
    <w:rsid w:val="00FA15BA"/>
    <w:rsid w:val="00FB4830"/>
    <w:rsid w:val="00FE4892"/>
    <w:rsid w:val="00FF12EB"/>
    <w:rsid w:val="00FF771C"/>
    <w:rsid w:val="02905122"/>
    <w:rsid w:val="08343011"/>
    <w:rsid w:val="0F1B6A25"/>
    <w:rsid w:val="13535599"/>
    <w:rsid w:val="13974AD4"/>
    <w:rsid w:val="17C86AB6"/>
    <w:rsid w:val="1ACF7635"/>
    <w:rsid w:val="24371262"/>
    <w:rsid w:val="28E91A51"/>
    <w:rsid w:val="2B5272A1"/>
    <w:rsid w:val="31B72605"/>
    <w:rsid w:val="3ECE4D65"/>
    <w:rsid w:val="40123BBE"/>
    <w:rsid w:val="401A1742"/>
    <w:rsid w:val="4D9E4EA5"/>
    <w:rsid w:val="4DBF5867"/>
    <w:rsid w:val="50D04AB3"/>
    <w:rsid w:val="59FA79DD"/>
    <w:rsid w:val="5D690B1F"/>
    <w:rsid w:val="63D05D22"/>
    <w:rsid w:val="657A3863"/>
    <w:rsid w:val="6CA84AC7"/>
    <w:rsid w:val="7AE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4480" w:firstLineChars="1600"/>
      <w:outlineLvl w:val="0"/>
    </w:pPr>
    <w:rPr>
      <w:sz w:val="28"/>
    </w:rPr>
  </w:style>
  <w:style w:type="paragraph" w:styleId="3">
    <w:name w:val="heading 3"/>
    <w:basedOn w:val="1"/>
    <w:next w:val="1"/>
    <w:qFormat/>
    <w:uiPriority w:val="0"/>
    <w:pPr>
      <w:keepNext/>
      <w:outlineLvl w:val="2"/>
    </w:pPr>
    <w:rPr>
      <w:b/>
      <w:bCs/>
      <w:sz w:val="24"/>
    </w:rPr>
  </w:style>
  <w:style w:type="paragraph" w:styleId="4">
    <w:name w:val="heading 4"/>
    <w:basedOn w:val="1"/>
    <w:next w:val="1"/>
    <w:qFormat/>
    <w:uiPriority w:val="0"/>
    <w:pPr>
      <w:keepNext/>
      <w:ind w:firstLine="2711" w:firstLineChars="900"/>
      <w:outlineLvl w:val="3"/>
    </w:pPr>
    <w:rPr>
      <w:b/>
      <w:bCs/>
      <w:sz w:val="30"/>
      <w:u w:val="double"/>
    </w:rPr>
  </w:style>
  <w:style w:type="paragraph" w:styleId="5">
    <w:name w:val="heading 5"/>
    <w:basedOn w:val="1"/>
    <w:next w:val="1"/>
    <w:qFormat/>
    <w:uiPriority w:val="0"/>
    <w:pPr>
      <w:keepNext/>
      <w:outlineLvl w:val="4"/>
    </w:pPr>
    <w:rPr>
      <w:b/>
      <w:bCs/>
      <w:sz w:val="30"/>
    </w:rPr>
  </w:style>
  <w:style w:type="paragraph" w:styleId="6">
    <w:name w:val="heading 7"/>
    <w:basedOn w:val="1"/>
    <w:next w:val="1"/>
    <w:qFormat/>
    <w:uiPriority w:val="0"/>
    <w:pPr>
      <w:keepNext/>
      <w:jc w:val="center"/>
      <w:outlineLvl w:val="6"/>
    </w:pPr>
    <w:rPr>
      <w:b/>
      <w:bCs/>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9"/>
    <w:unhideWhenUsed/>
    <w:qFormat/>
    <w:uiPriority w:val="99"/>
    <w:pPr>
      <w:widowControl/>
      <w:spacing w:before="100" w:beforeAutospacing="1" w:after="100" w:afterAutospacing="1"/>
      <w:jc w:val="left"/>
    </w:pPr>
    <w:rPr>
      <w:rFonts w:ascii="宋体" w:hAnsi="宋体"/>
      <w:kern w:val="0"/>
      <w:sz w:val="24"/>
    </w:rPr>
  </w:style>
  <w:style w:type="paragraph" w:styleId="8">
    <w:name w:val="Body Text"/>
    <w:basedOn w:val="1"/>
    <w:semiHidden/>
    <w:qFormat/>
    <w:uiPriority w:val="0"/>
    <w:rPr>
      <w:sz w:val="24"/>
      <w:szCs w:val="20"/>
    </w:rPr>
  </w:style>
  <w:style w:type="paragraph" w:styleId="9">
    <w:name w:val="Balloon Text"/>
    <w:basedOn w:val="1"/>
    <w:semiHidden/>
    <w:qFormat/>
    <w:uiPriority w:val="0"/>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customStyle="1" w:styleId="17">
    <w:name w:val="页眉 字符"/>
    <w:link w:val="11"/>
    <w:uiPriority w:val="99"/>
    <w:rPr>
      <w:kern w:val="2"/>
      <w:sz w:val="18"/>
      <w:szCs w:val="18"/>
    </w:rPr>
  </w:style>
  <w:style w:type="character" w:customStyle="1" w:styleId="18">
    <w:name w:val="页脚 字符"/>
    <w:link w:val="10"/>
    <w:qFormat/>
    <w:uiPriority w:val="99"/>
    <w:rPr>
      <w:kern w:val="2"/>
      <w:sz w:val="18"/>
      <w:szCs w:val="18"/>
    </w:rPr>
  </w:style>
  <w:style w:type="character" w:customStyle="1" w:styleId="19">
    <w:name w:val="电子邮件签名 字符"/>
    <w:link w:val="7"/>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444</Words>
  <Characters>2457</Characters>
  <Lines>5</Lines>
  <Paragraphs>1</Paragraphs>
  <TotalTime>4</TotalTime>
  <ScaleCrop>false</ScaleCrop>
  <LinksUpToDate>false</LinksUpToDate>
  <CharactersWithSpaces>2872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2014-06-25T07:17:00Z</dcterms:created>
  <dc:creator>walkinnet</dc:creator>
  <cp:lastModifiedBy>Administrator</cp:lastModifiedBy>
  <cp:lastPrinted>2013-08-07T04:13:00Z</cp:lastPrinted>
  <dcterms:modified xsi:type="dcterms:W3CDTF">2022-10-26T02:23:20Z</dcterms:modified>
  <dc:title>NINGBO KINGNOTE IMP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091C8A12E10D4F30A5E3D4C62C6CD6BA</vt:lpwstr>
  </property>
</Properties>
</file>